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80" w:rsidRPr="00BB23B3" w:rsidRDefault="00D33D03" w:rsidP="00BD21E5">
      <w:pPr>
        <w:spacing w:after="0"/>
        <w:rPr>
          <w:b/>
          <w:sz w:val="28"/>
          <w:szCs w:val="28"/>
        </w:rPr>
      </w:pPr>
      <w:r w:rsidRPr="00BB23B3">
        <w:rPr>
          <w:b/>
          <w:sz w:val="28"/>
          <w:szCs w:val="28"/>
        </w:rPr>
        <w:t>2. Rashes and skin infections</w:t>
      </w:r>
    </w:p>
    <w:p w:rsidR="00BB23B3" w:rsidRPr="00BB23B3" w:rsidRDefault="00BB23B3" w:rsidP="00BD21E5">
      <w:pPr>
        <w:spacing w:after="0"/>
        <w:rPr>
          <w:b/>
        </w:rPr>
      </w:pPr>
    </w:p>
    <w:p w:rsidR="00D33D03" w:rsidRDefault="00D33D03" w:rsidP="00BD21E5">
      <w:pPr>
        <w:spacing w:after="0"/>
      </w:pPr>
      <w:r>
        <w:t>Children with rashes should be considered infectious and assessed by their doctor.</w:t>
      </w:r>
    </w:p>
    <w:p w:rsidR="00D33D03" w:rsidRDefault="00D33D03" w:rsidP="00BD21E5">
      <w:pPr>
        <w:spacing w:after="0"/>
      </w:pPr>
    </w:p>
    <w:tbl>
      <w:tblPr>
        <w:tblStyle w:val="TableGrid"/>
        <w:tblW w:w="0" w:type="auto"/>
        <w:tblLook w:val="04A0" w:firstRow="1" w:lastRow="0" w:firstColumn="1" w:lastColumn="0" w:noHBand="0" w:noVBand="1"/>
      </w:tblPr>
      <w:tblGrid>
        <w:gridCol w:w="2547"/>
        <w:gridCol w:w="3544"/>
        <w:gridCol w:w="3763"/>
      </w:tblGrid>
      <w:tr w:rsidR="00D33D03" w:rsidTr="006848F4">
        <w:tc>
          <w:tcPr>
            <w:tcW w:w="2547" w:type="dxa"/>
          </w:tcPr>
          <w:p w:rsidR="00D33D03" w:rsidRPr="00D33D03" w:rsidRDefault="00D33D03" w:rsidP="00BD21E5">
            <w:pPr>
              <w:rPr>
                <w:b/>
              </w:rPr>
            </w:pPr>
            <w:r>
              <w:rPr>
                <w:b/>
              </w:rPr>
              <w:t>Infection complaint</w:t>
            </w:r>
          </w:p>
        </w:tc>
        <w:tc>
          <w:tcPr>
            <w:tcW w:w="3544" w:type="dxa"/>
          </w:tcPr>
          <w:p w:rsidR="00D33D03" w:rsidRPr="00D33D03" w:rsidRDefault="00D33D03" w:rsidP="00BD21E5">
            <w:pPr>
              <w:rPr>
                <w:b/>
              </w:rPr>
            </w:pPr>
            <w:r>
              <w:rPr>
                <w:b/>
              </w:rPr>
              <w:t xml:space="preserve">Recommended period to be kept away from school, nursery or </w:t>
            </w:r>
            <w:proofErr w:type="spellStart"/>
            <w:r>
              <w:rPr>
                <w:b/>
              </w:rPr>
              <w:t>childminders</w:t>
            </w:r>
            <w:proofErr w:type="spellEnd"/>
          </w:p>
        </w:tc>
        <w:tc>
          <w:tcPr>
            <w:tcW w:w="3763" w:type="dxa"/>
          </w:tcPr>
          <w:p w:rsidR="00D33D03" w:rsidRDefault="00D33D03" w:rsidP="00BD21E5">
            <w:pPr>
              <w:rPr>
                <w:b/>
              </w:rPr>
            </w:pPr>
            <w:r>
              <w:rPr>
                <w:b/>
              </w:rPr>
              <w:t>Comments</w:t>
            </w:r>
          </w:p>
        </w:tc>
      </w:tr>
      <w:tr w:rsidR="00D33D03" w:rsidTr="006848F4">
        <w:tc>
          <w:tcPr>
            <w:tcW w:w="2547" w:type="dxa"/>
          </w:tcPr>
          <w:p w:rsidR="00D33D03" w:rsidRDefault="00D33D03" w:rsidP="00BD21E5">
            <w:proofErr w:type="spellStart"/>
            <w:r>
              <w:t>Athelete’s</w:t>
            </w:r>
            <w:proofErr w:type="spellEnd"/>
            <w:r>
              <w:t xml:space="preserve"> foot</w:t>
            </w:r>
          </w:p>
        </w:tc>
        <w:tc>
          <w:tcPr>
            <w:tcW w:w="3544" w:type="dxa"/>
          </w:tcPr>
          <w:p w:rsidR="00D33D03" w:rsidRDefault="00D33D03" w:rsidP="00BD21E5">
            <w:r>
              <w:t>None</w:t>
            </w:r>
          </w:p>
        </w:tc>
        <w:tc>
          <w:tcPr>
            <w:tcW w:w="3763" w:type="dxa"/>
          </w:tcPr>
          <w:p w:rsidR="00D33D03" w:rsidRDefault="00D33D03" w:rsidP="00BD21E5">
            <w:proofErr w:type="spellStart"/>
            <w:r>
              <w:t>Athelete’s</w:t>
            </w:r>
            <w:proofErr w:type="spellEnd"/>
            <w:r>
              <w:t xml:space="preserve"> foot is not a serious condition.  Treatment is recommended</w:t>
            </w:r>
          </w:p>
        </w:tc>
      </w:tr>
      <w:tr w:rsidR="00D33D03" w:rsidTr="006848F4">
        <w:tc>
          <w:tcPr>
            <w:tcW w:w="2547" w:type="dxa"/>
          </w:tcPr>
          <w:p w:rsidR="00D33D03" w:rsidRDefault="00D33D03" w:rsidP="00BD21E5">
            <w:r>
              <w:t>Chickenpox</w:t>
            </w:r>
          </w:p>
        </w:tc>
        <w:tc>
          <w:tcPr>
            <w:tcW w:w="3544" w:type="dxa"/>
          </w:tcPr>
          <w:p w:rsidR="00D33D03" w:rsidRDefault="00D33D03" w:rsidP="00BD21E5">
            <w:r>
              <w:t>Until all vesicles have crusted over</w:t>
            </w:r>
          </w:p>
        </w:tc>
        <w:tc>
          <w:tcPr>
            <w:tcW w:w="3763" w:type="dxa"/>
          </w:tcPr>
          <w:p w:rsidR="00D33D03" w:rsidRPr="006848F4" w:rsidRDefault="006848F4" w:rsidP="00BD21E5">
            <w:pPr>
              <w:rPr>
                <w:i/>
              </w:rPr>
            </w:pPr>
            <w:r>
              <w:t xml:space="preserve">See: </w:t>
            </w:r>
            <w:r>
              <w:rPr>
                <w:i/>
              </w:rPr>
              <w:t>Vulnerable children and femal</w:t>
            </w:r>
            <w:r w:rsidR="00064CA6">
              <w:rPr>
                <w:i/>
              </w:rPr>
              <w:t>e</w:t>
            </w:r>
            <w:r>
              <w:rPr>
                <w:i/>
              </w:rPr>
              <w:t xml:space="preserve"> staff - pregnancy</w:t>
            </w:r>
          </w:p>
        </w:tc>
      </w:tr>
      <w:tr w:rsidR="00D33D03" w:rsidTr="006848F4">
        <w:tc>
          <w:tcPr>
            <w:tcW w:w="2547" w:type="dxa"/>
          </w:tcPr>
          <w:p w:rsidR="00D33D03" w:rsidRDefault="00D33D03" w:rsidP="00BD21E5">
            <w:r>
              <w:t>Cold sores (herpes simplex)</w:t>
            </w:r>
          </w:p>
        </w:tc>
        <w:tc>
          <w:tcPr>
            <w:tcW w:w="3544" w:type="dxa"/>
          </w:tcPr>
          <w:p w:rsidR="00D33D03" w:rsidRDefault="00D33D03" w:rsidP="00BD21E5">
            <w:r>
              <w:t>None</w:t>
            </w:r>
          </w:p>
        </w:tc>
        <w:tc>
          <w:tcPr>
            <w:tcW w:w="3763" w:type="dxa"/>
          </w:tcPr>
          <w:p w:rsidR="00D33D03" w:rsidRDefault="006848F4" w:rsidP="00BD21E5">
            <w:r>
              <w:t>Avoid kissing and contact with the sores.  Cold sores are generally mild and self-limiting</w:t>
            </w:r>
          </w:p>
        </w:tc>
      </w:tr>
      <w:tr w:rsidR="00D33D03" w:rsidTr="006848F4">
        <w:tc>
          <w:tcPr>
            <w:tcW w:w="2547" w:type="dxa"/>
          </w:tcPr>
          <w:p w:rsidR="00D33D03" w:rsidRDefault="00D33D03" w:rsidP="00BD21E5">
            <w:r>
              <w:t>German measles (rubella)</w:t>
            </w:r>
          </w:p>
        </w:tc>
        <w:tc>
          <w:tcPr>
            <w:tcW w:w="3544" w:type="dxa"/>
          </w:tcPr>
          <w:p w:rsidR="00D33D03" w:rsidRDefault="00D33D03" w:rsidP="00BD21E5">
            <w:r>
              <w:t>Four days form onset of rash</w:t>
            </w:r>
          </w:p>
        </w:tc>
        <w:tc>
          <w:tcPr>
            <w:tcW w:w="3763" w:type="dxa"/>
          </w:tcPr>
          <w:p w:rsidR="00D33D03" w:rsidRPr="006848F4" w:rsidRDefault="006848F4" w:rsidP="00BD21E5">
            <w:pPr>
              <w:rPr>
                <w:i/>
              </w:rPr>
            </w:pPr>
            <w:r>
              <w:t xml:space="preserve">Preventable by immunisation (MMR x 2 doses) </w:t>
            </w:r>
            <w:r>
              <w:rPr>
                <w:i/>
              </w:rPr>
              <w:t>see: Female staff – pregnancy</w:t>
            </w:r>
          </w:p>
        </w:tc>
      </w:tr>
      <w:tr w:rsidR="00D33D03" w:rsidTr="006848F4">
        <w:tc>
          <w:tcPr>
            <w:tcW w:w="2547" w:type="dxa"/>
          </w:tcPr>
          <w:p w:rsidR="00D33D03" w:rsidRDefault="00D33D03" w:rsidP="00BD21E5">
            <w:r>
              <w:t>Hand, foot and mouth</w:t>
            </w:r>
          </w:p>
        </w:tc>
        <w:tc>
          <w:tcPr>
            <w:tcW w:w="3544" w:type="dxa"/>
          </w:tcPr>
          <w:p w:rsidR="00D33D03" w:rsidRDefault="00D33D03" w:rsidP="00BD21E5">
            <w:r>
              <w:t>None</w:t>
            </w:r>
          </w:p>
        </w:tc>
        <w:tc>
          <w:tcPr>
            <w:tcW w:w="3763" w:type="dxa"/>
          </w:tcPr>
          <w:p w:rsidR="00D33D03" w:rsidRDefault="006848F4" w:rsidP="00BD21E5">
            <w:r>
              <w:t>Contact your local HPT</w:t>
            </w:r>
            <w:r w:rsidR="00064CA6">
              <w:rPr>
                <w:rStyle w:val="FootnoteReference"/>
              </w:rPr>
              <w:footnoteReference w:id="1"/>
            </w:r>
            <w:r>
              <w:t xml:space="preserve"> if a large number of children affected.  Exclusion may be considered in some circumstances</w:t>
            </w:r>
          </w:p>
        </w:tc>
      </w:tr>
      <w:tr w:rsidR="00D33D03" w:rsidTr="006848F4">
        <w:tc>
          <w:tcPr>
            <w:tcW w:w="2547" w:type="dxa"/>
          </w:tcPr>
          <w:p w:rsidR="00D33D03" w:rsidRDefault="00D33D03" w:rsidP="00BD21E5">
            <w:r>
              <w:t>Impetigo</w:t>
            </w:r>
          </w:p>
        </w:tc>
        <w:tc>
          <w:tcPr>
            <w:tcW w:w="3544" w:type="dxa"/>
          </w:tcPr>
          <w:p w:rsidR="00D33D03" w:rsidRDefault="00D33D03" w:rsidP="00BD21E5">
            <w:r>
              <w:t>Until lesions are crusted and healed, or 48 hours after starting antibiotic treatment</w:t>
            </w:r>
          </w:p>
        </w:tc>
        <w:tc>
          <w:tcPr>
            <w:tcW w:w="3763" w:type="dxa"/>
          </w:tcPr>
          <w:p w:rsidR="00D33D03" w:rsidRDefault="006848F4" w:rsidP="00BD21E5">
            <w:r>
              <w:t>Antibiotic treatment speeds healing and reduces the infectious period</w:t>
            </w:r>
          </w:p>
        </w:tc>
      </w:tr>
      <w:tr w:rsidR="00D33D03" w:rsidTr="006848F4">
        <w:tc>
          <w:tcPr>
            <w:tcW w:w="2547" w:type="dxa"/>
          </w:tcPr>
          <w:p w:rsidR="00D33D03" w:rsidRDefault="00D33D03" w:rsidP="00BD21E5">
            <w:r>
              <w:t>Measles</w:t>
            </w:r>
            <w:r w:rsidR="00EC6419">
              <w:t>*</w:t>
            </w:r>
          </w:p>
        </w:tc>
        <w:tc>
          <w:tcPr>
            <w:tcW w:w="3544" w:type="dxa"/>
          </w:tcPr>
          <w:p w:rsidR="00D33D03" w:rsidRDefault="00D33D03" w:rsidP="00BD21E5">
            <w:r>
              <w:t>Four days from onset of rash</w:t>
            </w:r>
          </w:p>
        </w:tc>
        <w:tc>
          <w:tcPr>
            <w:tcW w:w="3763" w:type="dxa"/>
          </w:tcPr>
          <w:p w:rsidR="00D33D03" w:rsidRPr="006848F4" w:rsidRDefault="006848F4" w:rsidP="00BD21E5">
            <w:pPr>
              <w:rPr>
                <w:i/>
              </w:rPr>
            </w:pPr>
            <w:r>
              <w:t>Preventable by vaccination (MMR x 2</w:t>
            </w:r>
            <w:r w:rsidR="00465D06">
              <w:t xml:space="preserve"> doses</w:t>
            </w:r>
            <w:r>
              <w:t xml:space="preserve">). See: </w:t>
            </w:r>
            <w:r>
              <w:rPr>
                <w:i/>
              </w:rPr>
              <w:t>Vulnerable children and female staff – pregnancy</w:t>
            </w:r>
          </w:p>
        </w:tc>
      </w:tr>
      <w:tr w:rsidR="00D33D03" w:rsidTr="006848F4">
        <w:tc>
          <w:tcPr>
            <w:tcW w:w="2547" w:type="dxa"/>
          </w:tcPr>
          <w:p w:rsidR="00D33D03" w:rsidRDefault="00D33D03" w:rsidP="00BD21E5">
            <w:proofErr w:type="spellStart"/>
            <w:r>
              <w:t>Molluscum</w:t>
            </w:r>
            <w:proofErr w:type="spellEnd"/>
            <w:r>
              <w:t xml:space="preserve"> </w:t>
            </w:r>
            <w:proofErr w:type="spellStart"/>
            <w:r>
              <w:t>contagiosum</w:t>
            </w:r>
            <w:proofErr w:type="spellEnd"/>
          </w:p>
        </w:tc>
        <w:tc>
          <w:tcPr>
            <w:tcW w:w="3544" w:type="dxa"/>
          </w:tcPr>
          <w:p w:rsidR="00D33D03" w:rsidRDefault="00D33D03" w:rsidP="00BD21E5">
            <w:r>
              <w:t>None</w:t>
            </w:r>
          </w:p>
        </w:tc>
        <w:tc>
          <w:tcPr>
            <w:tcW w:w="3763" w:type="dxa"/>
          </w:tcPr>
          <w:p w:rsidR="00D33D03" w:rsidRDefault="006848F4" w:rsidP="00BD21E5">
            <w:r>
              <w:t>A self-limiting condition</w:t>
            </w:r>
          </w:p>
        </w:tc>
      </w:tr>
      <w:tr w:rsidR="00D33D03" w:rsidTr="006848F4">
        <w:tc>
          <w:tcPr>
            <w:tcW w:w="2547" w:type="dxa"/>
          </w:tcPr>
          <w:p w:rsidR="00D33D03" w:rsidRDefault="00D33D03" w:rsidP="00BD21E5">
            <w:r>
              <w:t>Ringworm</w:t>
            </w:r>
          </w:p>
        </w:tc>
        <w:tc>
          <w:tcPr>
            <w:tcW w:w="3544" w:type="dxa"/>
          </w:tcPr>
          <w:p w:rsidR="00D33D03" w:rsidRDefault="00D33D03" w:rsidP="00BD21E5">
            <w:r>
              <w:t>Exclusion not usually required</w:t>
            </w:r>
          </w:p>
        </w:tc>
        <w:tc>
          <w:tcPr>
            <w:tcW w:w="3763" w:type="dxa"/>
          </w:tcPr>
          <w:p w:rsidR="00D33D03" w:rsidRDefault="006848F4" w:rsidP="00BD21E5">
            <w:r>
              <w:t>Treatment is required</w:t>
            </w:r>
          </w:p>
        </w:tc>
      </w:tr>
      <w:tr w:rsidR="00D33D03" w:rsidTr="006848F4">
        <w:tc>
          <w:tcPr>
            <w:tcW w:w="2547" w:type="dxa"/>
          </w:tcPr>
          <w:p w:rsidR="00D33D03" w:rsidRDefault="00D33D03" w:rsidP="00BD21E5">
            <w:proofErr w:type="spellStart"/>
            <w:r>
              <w:t>Roseola</w:t>
            </w:r>
            <w:proofErr w:type="spellEnd"/>
            <w:r>
              <w:t xml:space="preserve"> (</w:t>
            </w:r>
            <w:proofErr w:type="spellStart"/>
            <w:r>
              <w:t>infantum</w:t>
            </w:r>
            <w:proofErr w:type="spellEnd"/>
            <w:r>
              <w:t>)</w:t>
            </w:r>
          </w:p>
        </w:tc>
        <w:tc>
          <w:tcPr>
            <w:tcW w:w="3544" w:type="dxa"/>
          </w:tcPr>
          <w:p w:rsidR="00D33D03" w:rsidRDefault="00D33D03" w:rsidP="00BD21E5">
            <w:r>
              <w:t>None</w:t>
            </w:r>
          </w:p>
        </w:tc>
        <w:tc>
          <w:tcPr>
            <w:tcW w:w="3763" w:type="dxa"/>
          </w:tcPr>
          <w:p w:rsidR="00D33D03" w:rsidRDefault="006848F4" w:rsidP="00BD21E5">
            <w:r>
              <w:t>None</w:t>
            </w:r>
          </w:p>
        </w:tc>
      </w:tr>
      <w:tr w:rsidR="00D33D03" w:rsidTr="006848F4">
        <w:tc>
          <w:tcPr>
            <w:tcW w:w="2547" w:type="dxa"/>
          </w:tcPr>
          <w:p w:rsidR="00D33D03" w:rsidRDefault="006848F4" w:rsidP="00BD21E5">
            <w:r>
              <w:t>Scabies</w:t>
            </w:r>
          </w:p>
        </w:tc>
        <w:tc>
          <w:tcPr>
            <w:tcW w:w="3544" w:type="dxa"/>
          </w:tcPr>
          <w:p w:rsidR="00D33D03" w:rsidRDefault="006848F4" w:rsidP="00BD21E5">
            <w:r>
              <w:t>Child can return after first treatment</w:t>
            </w:r>
          </w:p>
        </w:tc>
        <w:tc>
          <w:tcPr>
            <w:tcW w:w="3763" w:type="dxa"/>
          </w:tcPr>
          <w:p w:rsidR="00D33D03" w:rsidRDefault="006848F4" w:rsidP="00BD21E5">
            <w:r>
              <w:t>Household and close contacts require treatment</w:t>
            </w:r>
          </w:p>
        </w:tc>
      </w:tr>
      <w:tr w:rsidR="006848F4" w:rsidTr="006848F4">
        <w:tc>
          <w:tcPr>
            <w:tcW w:w="2547" w:type="dxa"/>
          </w:tcPr>
          <w:p w:rsidR="006848F4" w:rsidRDefault="006848F4" w:rsidP="00BD21E5">
            <w:r>
              <w:t>Scarlet fever</w:t>
            </w:r>
            <w:r w:rsidR="00EC6419">
              <w:t>*</w:t>
            </w:r>
          </w:p>
        </w:tc>
        <w:tc>
          <w:tcPr>
            <w:tcW w:w="3544" w:type="dxa"/>
          </w:tcPr>
          <w:p w:rsidR="006848F4" w:rsidRDefault="006848F4" w:rsidP="00BD21E5">
            <w:r>
              <w:t>Child can return 24 hours after starting appropriate antibiotic treatment</w:t>
            </w:r>
          </w:p>
        </w:tc>
        <w:tc>
          <w:tcPr>
            <w:tcW w:w="3763" w:type="dxa"/>
          </w:tcPr>
          <w:p w:rsidR="006848F4" w:rsidRDefault="006848F4" w:rsidP="00BD21E5">
            <w:r>
              <w:t>Antibiotic treatment is recommended for the affected child</w:t>
            </w:r>
          </w:p>
        </w:tc>
      </w:tr>
      <w:tr w:rsidR="006848F4" w:rsidTr="006848F4">
        <w:tc>
          <w:tcPr>
            <w:tcW w:w="2547" w:type="dxa"/>
          </w:tcPr>
          <w:p w:rsidR="006848F4" w:rsidRDefault="006848F4" w:rsidP="00BD21E5">
            <w:r>
              <w:t xml:space="preserve">Slapped cheek/fifth disease.  </w:t>
            </w:r>
            <w:proofErr w:type="spellStart"/>
            <w:r>
              <w:t>Parvovius</w:t>
            </w:r>
            <w:proofErr w:type="spellEnd"/>
            <w:r>
              <w:t xml:space="preserve"> B19</w:t>
            </w:r>
          </w:p>
        </w:tc>
        <w:tc>
          <w:tcPr>
            <w:tcW w:w="3544" w:type="dxa"/>
          </w:tcPr>
          <w:p w:rsidR="006848F4" w:rsidRDefault="006848F4" w:rsidP="00BD21E5">
            <w:r>
              <w:t>None (once rash has developed)</w:t>
            </w:r>
          </w:p>
        </w:tc>
        <w:tc>
          <w:tcPr>
            <w:tcW w:w="3763" w:type="dxa"/>
          </w:tcPr>
          <w:p w:rsidR="006848F4" w:rsidRPr="006848F4" w:rsidRDefault="006848F4" w:rsidP="00BD21E5">
            <w:r>
              <w:t xml:space="preserve">See: </w:t>
            </w:r>
            <w:r>
              <w:rPr>
                <w:i/>
              </w:rPr>
              <w:t>Vulnerable children and female staff – pregnancy</w:t>
            </w:r>
          </w:p>
        </w:tc>
      </w:tr>
      <w:tr w:rsidR="006848F4" w:rsidTr="006848F4">
        <w:tc>
          <w:tcPr>
            <w:tcW w:w="2547" w:type="dxa"/>
          </w:tcPr>
          <w:p w:rsidR="006848F4" w:rsidRDefault="006848F4" w:rsidP="00BD21E5">
            <w:r>
              <w:t>Shingles</w:t>
            </w:r>
          </w:p>
        </w:tc>
        <w:tc>
          <w:tcPr>
            <w:tcW w:w="3544" w:type="dxa"/>
          </w:tcPr>
          <w:p w:rsidR="006848F4" w:rsidRDefault="006848F4" w:rsidP="00BD21E5">
            <w:r>
              <w:t>Exclude only if rash is weeping and cannot be covered</w:t>
            </w:r>
          </w:p>
        </w:tc>
        <w:tc>
          <w:tcPr>
            <w:tcW w:w="3763" w:type="dxa"/>
          </w:tcPr>
          <w:p w:rsidR="006848F4" w:rsidRPr="006848F4" w:rsidRDefault="006848F4" w:rsidP="00BD21E5">
            <w:r>
              <w:t xml:space="preserve">Can cause chickenpox in those who are not immune, </w:t>
            </w:r>
            <w:proofErr w:type="spellStart"/>
            <w:r>
              <w:t>ie</w:t>
            </w:r>
            <w:proofErr w:type="spellEnd"/>
            <w:r>
              <w:t xml:space="preserve"> have not had chickenpox.  It is spread by very close contact and touch.  If further information is required, contact you</w:t>
            </w:r>
            <w:r w:rsidR="00064CA6">
              <w:t>r</w:t>
            </w:r>
            <w:r>
              <w:t xml:space="preserve"> local PHE</w:t>
            </w:r>
            <w:r w:rsidR="00064CA6">
              <w:rPr>
                <w:rStyle w:val="FootnoteReference"/>
              </w:rPr>
              <w:footnoteReference w:id="2"/>
            </w:r>
            <w:r>
              <w:t xml:space="preserve"> centre.  See: </w:t>
            </w:r>
            <w:r>
              <w:rPr>
                <w:i/>
              </w:rPr>
              <w:t>Vulnerable children and female staff – pregnancy</w:t>
            </w:r>
          </w:p>
        </w:tc>
      </w:tr>
      <w:tr w:rsidR="006848F4" w:rsidTr="006848F4">
        <w:tc>
          <w:tcPr>
            <w:tcW w:w="2547" w:type="dxa"/>
          </w:tcPr>
          <w:p w:rsidR="006848F4" w:rsidRDefault="00CF3C02" w:rsidP="00BD21E5">
            <w:r>
              <w:t>Warts and verrucae</w:t>
            </w:r>
          </w:p>
        </w:tc>
        <w:tc>
          <w:tcPr>
            <w:tcW w:w="3544" w:type="dxa"/>
          </w:tcPr>
          <w:p w:rsidR="006848F4" w:rsidRDefault="00CF3C02" w:rsidP="00BD21E5">
            <w:r>
              <w:t>None</w:t>
            </w:r>
          </w:p>
        </w:tc>
        <w:tc>
          <w:tcPr>
            <w:tcW w:w="3763" w:type="dxa"/>
          </w:tcPr>
          <w:p w:rsidR="006848F4" w:rsidRDefault="00CF3C02" w:rsidP="00BD21E5">
            <w:r>
              <w:t>Verrucae should be covered in swimming pools, gymnasiums and changing rooms</w:t>
            </w:r>
          </w:p>
        </w:tc>
      </w:tr>
    </w:tbl>
    <w:p w:rsidR="00D33D03" w:rsidRDefault="00D33D03" w:rsidP="00BD21E5">
      <w:pPr>
        <w:spacing w:after="0"/>
      </w:pPr>
    </w:p>
    <w:p w:rsidR="00CF3C02" w:rsidRDefault="00BB23B3" w:rsidP="00465D06">
      <w:pPr>
        <w:rPr>
          <w:sz w:val="28"/>
          <w:szCs w:val="28"/>
        </w:rPr>
      </w:pPr>
      <w:r>
        <w:rPr>
          <w:b/>
          <w:sz w:val="28"/>
          <w:szCs w:val="28"/>
        </w:rPr>
        <w:br w:type="page"/>
      </w:r>
      <w:r w:rsidR="00CF3C02" w:rsidRPr="00BB23B3">
        <w:rPr>
          <w:b/>
          <w:sz w:val="28"/>
          <w:szCs w:val="28"/>
        </w:rPr>
        <w:lastRenderedPageBreak/>
        <w:t>3. Diarrhoea and vomiting illnesses</w:t>
      </w:r>
    </w:p>
    <w:p w:rsidR="00BB23B3" w:rsidRPr="00BB23B3" w:rsidRDefault="00BB23B3" w:rsidP="00BD21E5">
      <w:pPr>
        <w:spacing w:after="0"/>
      </w:pPr>
    </w:p>
    <w:tbl>
      <w:tblPr>
        <w:tblStyle w:val="TableGrid"/>
        <w:tblW w:w="0" w:type="auto"/>
        <w:tblLook w:val="04A0" w:firstRow="1" w:lastRow="0" w:firstColumn="1" w:lastColumn="0" w:noHBand="0" w:noVBand="1"/>
      </w:tblPr>
      <w:tblGrid>
        <w:gridCol w:w="2547"/>
        <w:gridCol w:w="3544"/>
        <w:gridCol w:w="3763"/>
      </w:tblGrid>
      <w:tr w:rsidR="00CF3C02" w:rsidTr="00BB23B3">
        <w:trPr>
          <w:tblHeader/>
        </w:trPr>
        <w:tc>
          <w:tcPr>
            <w:tcW w:w="2547" w:type="dxa"/>
          </w:tcPr>
          <w:p w:rsidR="00CF3C02" w:rsidRPr="00CF3C02" w:rsidRDefault="00CF3C02" w:rsidP="00BD21E5">
            <w:pPr>
              <w:rPr>
                <w:b/>
              </w:rPr>
            </w:pPr>
            <w:r>
              <w:rPr>
                <w:b/>
              </w:rPr>
              <w:t>Infection or complaint</w:t>
            </w:r>
          </w:p>
        </w:tc>
        <w:tc>
          <w:tcPr>
            <w:tcW w:w="3544" w:type="dxa"/>
          </w:tcPr>
          <w:p w:rsidR="00CF3C02" w:rsidRPr="00CF3C02" w:rsidRDefault="00CF3C02" w:rsidP="00BD21E5">
            <w:pPr>
              <w:rPr>
                <w:b/>
              </w:rPr>
            </w:pPr>
            <w:r>
              <w:rPr>
                <w:b/>
              </w:rPr>
              <w:t xml:space="preserve">Recommended period to be kept away from school, nursery or </w:t>
            </w:r>
            <w:proofErr w:type="spellStart"/>
            <w:r>
              <w:rPr>
                <w:b/>
              </w:rPr>
              <w:t>childminders</w:t>
            </w:r>
            <w:proofErr w:type="spellEnd"/>
          </w:p>
        </w:tc>
        <w:tc>
          <w:tcPr>
            <w:tcW w:w="3763" w:type="dxa"/>
          </w:tcPr>
          <w:p w:rsidR="00CF3C02" w:rsidRPr="00CF3C02" w:rsidRDefault="00CF3C02" w:rsidP="00BD21E5">
            <w:pPr>
              <w:rPr>
                <w:b/>
              </w:rPr>
            </w:pPr>
            <w:r>
              <w:rPr>
                <w:b/>
              </w:rPr>
              <w:t>Comments</w:t>
            </w:r>
          </w:p>
        </w:tc>
      </w:tr>
      <w:tr w:rsidR="00CF3C02" w:rsidTr="00CF3C02">
        <w:tc>
          <w:tcPr>
            <w:tcW w:w="2547" w:type="dxa"/>
          </w:tcPr>
          <w:p w:rsidR="00CF3C02" w:rsidRDefault="00CF3C02" w:rsidP="00BD21E5">
            <w:r>
              <w:t>Diarrhoea and/or vomiting</w:t>
            </w:r>
          </w:p>
        </w:tc>
        <w:tc>
          <w:tcPr>
            <w:tcW w:w="3544" w:type="dxa"/>
          </w:tcPr>
          <w:p w:rsidR="00CF3C02" w:rsidRDefault="00CF3C02" w:rsidP="00BD21E5">
            <w:r>
              <w:t>48 hours from last episode of diarrhoea or vomiting</w:t>
            </w:r>
          </w:p>
        </w:tc>
        <w:tc>
          <w:tcPr>
            <w:tcW w:w="3763" w:type="dxa"/>
          </w:tcPr>
          <w:p w:rsidR="00CF3C02" w:rsidRDefault="00CF3C02" w:rsidP="00BD21E5"/>
        </w:tc>
      </w:tr>
      <w:tr w:rsidR="00CF3C02" w:rsidTr="00CF3C02">
        <w:tc>
          <w:tcPr>
            <w:tcW w:w="2547" w:type="dxa"/>
          </w:tcPr>
          <w:p w:rsidR="00CF3C02" w:rsidRDefault="00CF3C02" w:rsidP="00BD21E5">
            <w:r>
              <w:t xml:space="preserve">E. coli O157 VTEC </w:t>
            </w:r>
          </w:p>
          <w:p w:rsidR="00CF3C02" w:rsidRDefault="00CF3C02" w:rsidP="00BD21E5">
            <w:r>
              <w:t>Typhoid</w:t>
            </w:r>
            <w:r w:rsidR="00EC6419">
              <w:t>*</w:t>
            </w:r>
            <w:r>
              <w:t xml:space="preserve"> [and paratyphoid</w:t>
            </w:r>
            <w:r w:rsidR="007D4527">
              <w:t>*</w:t>
            </w:r>
            <w:r>
              <w:t>] (enteric fever)</w:t>
            </w:r>
          </w:p>
          <w:p w:rsidR="00CF3C02" w:rsidRDefault="00CF3C02" w:rsidP="00BD21E5">
            <w:proofErr w:type="spellStart"/>
            <w:r>
              <w:t>Shigella</w:t>
            </w:r>
            <w:proofErr w:type="spellEnd"/>
            <w:r>
              <w:t xml:space="preserve"> (dysentery)</w:t>
            </w:r>
          </w:p>
        </w:tc>
        <w:tc>
          <w:tcPr>
            <w:tcW w:w="3544" w:type="dxa"/>
          </w:tcPr>
          <w:p w:rsidR="00CF3C02" w:rsidRDefault="00CF3C02" w:rsidP="00BD21E5">
            <w:r>
              <w:t>Should be excluded for 48 hours from the last episode of diarrhoea.  Further exclusion may be required for some children until they are no longer excreting.</w:t>
            </w:r>
          </w:p>
        </w:tc>
        <w:tc>
          <w:tcPr>
            <w:tcW w:w="3763" w:type="dxa"/>
          </w:tcPr>
          <w:p w:rsidR="00CF3C02" w:rsidRDefault="00CF3C02" w:rsidP="00BD21E5">
            <w:r>
              <w:t>Further exclusion is required for children aged five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w:rsidR="00CF3C02" w:rsidTr="00CF3C02">
        <w:tc>
          <w:tcPr>
            <w:tcW w:w="2547" w:type="dxa"/>
          </w:tcPr>
          <w:p w:rsidR="00CF3C02" w:rsidRDefault="00CF3C02" w:rsidP="00BD21E5">
            <w:r>
              <w:t>Cryptosporidiosis</w:t>
            </w:r>
          </w:p>
        </w:tc>
        <w:tc>
          <w:tcPr>
            <w:tcW w:w="3544" w:type="dxa"/>
          </w:tcPr>
          <w:p w:rsidR="00CF3C02" w:rsidRDefault="00CF3C02" w:rsidP="00BD21E5">
            <w:r>
              <w:t>Exclude for 48 hours from the last episode of diarrhoea</w:t>
            </w:r>
          </w:p>
        </w:tc>
        <w:tc>
          <w:tcPr>
            <w:tcW w:w="3763" w:type="dxa"/>
          </w:tcPr>
          <w:p w:rsidR="00CF3C02" w:rsidRDefault="00CF3C02" w:rsidP="00BD21E5">
            <w:r>
              <w:t>Exclusion from swimming is advisable for two weeks after the diarrhoea has settled.</w:t>
            </w:r>
          </w:p>
        </w:tc>
      </w:tr>
    </w:tbl>
    <w:p w:rsidR="00CF3C02" w:rsidRDefault="00CF3C02" w:rsidP="00BD21E5">
      <w:pPr>
        <w:spacing w:after="0"/>
      </w:pPr>
    </w:p>
    <w:p w:rsidR="00CF3C02" w:rsidRPr="00BB23B3" w:rsidRDefault="00CF3C02" w:rsidP="00BD21E5">
      <w:pPr>
        <w:spacing w:after="0"/>
        <w:rPr>
          <w:b/>
          <w:sz w:val="28"/>
          <w:szCs w:val="28"/>
        </w:rPr>
      </w:pPr>
      <w:r w:rsidRPr="00BB23B3">
        <w:rPr>
          <w:b/>
          <w:sz w:val="28"/>
          <w:szCs w:val="28"/>
        </w:rPr>
        <w:t>4. Respiratory infections</w:t>
      </w:r>
    </w:p>
    <w:p w:rsidR="00CF3C02" w:rsidRDefault="00CF3C02" w:rsidP="00BD21E5">
      <w:pPr>
        <w:spacing w:after="0"/>
      </w:pPr>
    </w:p>
    <w:tbl>
      <w:tblPr>
        <w:tblStyle w:val="TableGrid"/>
        <w:tblW w:w="0" w:type="auto"/>
        <w:tblLook w:val="04A0" w:firstRow="1" w:lastRow="0" w:firstColumn="1" w:lastColumn="0" w:noHBand="0" w:noVBand="1"/>
      </w:tblPr>
      <w:tblGrid>
        <w:gridCol w:w="2547"/>
        <w:gridCol w:w="3544"/>
        <w:gridCol w:w="3763"/>
      </w:tblGrid>
      <w:tr w:rsidR="002342B1" w:rsidTr="00F90608">
        <w:tc>
          <w:tcPr>
            <w:tcW w:w="2547" w:type="dxa"/>
          </w:tcPr>
          <w:p w:rsidR="002342B1" w:rsidRPr="00F90608" w:rsidRDefault="00F90608" w:rsidP="00BD21E5">
            <w:pPr>
              <w:rPr>
                <w:b/>
              </w:rPr>
            </w:pPr>
            <w:r>
              <w:rPr>
                <w:b/>
              </w:rPr>
              <w:t>Infection or complaint</w:t>
            </w:r>
          </w:p>
        </w:tc>
        <w:tc>
          <w:tcPr>
            <w:tcW w:w="3544" w:type="dxa"/>
          </w:tcPr>
          <w:p w:rsidR="002342B1" w:rsidRPr="00F90608" w:rsidRDefault="00F90608" w:rsidP="00BD21E5">
            <w:pPr>
              <w:rPr>
                <w:b/>
              </w:rPr>
            </w:pPr>
            <w:r>
              <w:rPr>
                <w:b/>
              </w:rPr>
              <w:t xml:space="preserve">Recommended period to be kept away from school, nursery or </w:t>
            </w:r>
            <w:proofErr w:type="spellStart"/>
            <w:r>
              <w:rPr>
                <w:b/>
              </w:rPr>
              <w:t>childminders</w:t>
            </w:r>
            <w:proofErr w:type="spellEnd"/>
          </w:p>
        </w:tc>
        <w:tc>
          <w:tcPr>
            <w:tcW w:w="3763" w:type="dxa"/>
          </w:tcPr>
          <w:p w:rsidR="002342B1" w:rsidRPr="00F90608" w:rsidRDefault="00F90608" w:rsidP="00BD21E5">
            <w:pPr>
              <w:rPr>
                <w:b/>
              </w:rPr>
            </w:pPr>
            <w:r>
              <w:rPr>
                <w:b/>
              </w:rPr>
              <w:t>Comments</w:t>
            </w:r>
          </w:p>
        </w:tc>
      </w:tr>
      <w:tr w:rsidR="002342B1" w:rsidTr="00F90608">
        <w:tc>
          <w:tcPr>
            <w:tcW w:w="2547" w:type="dxa"/>
          </w:tcPr>
          <w:p w:rsidR="002342B1" w:rsidRDefault="00F90608" w:rsidP="00BD21E5">
            <w:r>
              <w:t>Flu (influenza)</w:t>
            </w:r>
          </w:p>
        </w:tc>
        <w:tc>
          <w:tcPr>
            <w:tcW w:w="3544" w:type="dxa"/>
          </w:tcPr>
          <w:p w:rsidR="002342B1" w:rsidRDefault="00F90608" w:rsidP="00BD21E5">
            <w:r>
              <w:t>Until recovered</w:t>
            </w:r>
          </w:p>
        </w:tc>
        <w:tc>
          <w:tcPr>
            <w:tcW w:w="3763" w:type="dxa"/>
          </w:tcPr>
          <w:p w:rsidR="002342B1" w:rsidRPr="00F90608" w:rsidRDefault="00F90608" w:rsidP="00BD21E5">
            <w:pPr>
              <w:rPr>
                <w:i/>
              </w:rPr>
            </w:pPr>
            <w:r>
              <w:t xml:space="preserve">See: </w:t>
            </w:r>
            <w:r>
              <w:rPr>
                <w:i/>
              </w:rPr>
              <w:t>Vulnerable children</w:t>
            </w:r>
          </w:p>
        </w:tc>
      </w:tr>
      <w:tr w:rsidR="002342B1" w:rsidTr="00F90608">
        <w:tc>
          <w:tcPr>
            <w:tcW w:w="2547" w:type="dxa"/>
          </w:tcPr>
          <w:p w:rsidR="002342B1" w:rsidRDefault="00F90608" w:rsidP="00BD21E5">
            <w:r>
              <w:t>Tuberculosis</w:t>
            </w:r>
            <w:r w:rsidR="00EC6419">
              <w:t>*</w:t>
            </w:r>
          </w:p>
        </w:tc>
        <w:tc>
          <w:tcPr>
            <w:tcW w:w="3544" w:type="dxa"/>
          </w:tcPr>
          <w:p w:rsidR="002342B1" w:rsidRDefault="00F90608" w:rsidP="00BD21E5">
            <w:r>
              <w:t>Always consult your local PHE centre</w:t>
            </w:r>
          </w:p>
        </w:tc>
        <w:tc>
          <w:tcPr>
            <w:tcW w:w="3763" w:type="dxa"/>
          </w:tcPr>
          <w:p w:rsidR="002342B1" w:rsidRDefault="00F90608" w:rsidP="00BD21E5">
            <w:r>
              <w:t>Requires prolonged close contact for spread</w:t>
            </w:r>
          </w:p>
        </w:tc>
      </w:tr>
      <w:tr w:rsidR="00F90608" w:rsidTr="00F90608">
        <w:tc>
          <w:tcPr>
            <w:tcW w:w="2547" w:type="dxa"/>
          </w:tcPr>
          <w:p w:rsidR="00F90608" w:rsidRDefault="00F90608" w:rsidP="00BD21E5">
            <w:r>
              <w:t>Whooping cough</w:t>
            </w:r>
            <w:r w:rsidR="00EC6419">
              <w:t>*</w:t>
            </w:r>
            <w:r>
              <w:t xml:space="preserve"> (pertussis)</w:t>
            </w:r>
          </w:p>
        </w:tc>
        <w:tc>
          <w:tcPr>
            <w:tcW w:w="3544" w:type="dxa"/>
          </w:tcPr>
          <w:p w:rsidR="00F90608" w:rsidRDefault="00F90608" w:rsidP="00BD21E5">
            <w:r>
              <w:t>Five days from starting antibiotic treatment, or 21 days from onset of illness if no antibiotic treatment</w:t>
            </w:r>
          </w:p>
        </w:tc>
        <w:tc>
          <w:tcPr>
            <w:tcW w:w="3763" w:type="dxa"/>
          </w:tcPr>
          <w:p w:rsidR="00F90608" w:rsidRDefault="00F90608" w:rsidP="00BD21E5">
            <w:r>
              <w:t>Preventable by vaccination.  After treatment, non-infectious coughing may continue for many weeks.  Your local PHE centre will organise any contact training necessary.</w:t>
            </w:r>
          </w:p>
        </w:tc>
      </w:tr>
    </w:tbl>
    <w:p w:rsidR="00CF3C02" w:rsidRDefault="00CF3C02" w:rsidP="00BD21E5">
      <w:pPr>
        <w:spacing w:after="0"/>
      </w:pPr>
    </w:p>
    <w:p w:rsidR="00F90608" w:rsidRPr="00BB23B3" w:rsidRDefault="00F90608" w:rsidP="00BD21E5">
      <w:pPr>
        <w:spacing w:after="0"/>
        <w:rPr>
          <w:b/>
          <w:sz w:val="28"/>
          <w:szCs w:val="28"/>
        </w:rPr>
      </w:pPr>
      <w:r w:rsidRPr="00BB23B3">
        <w:rPr>
          <w:b/>
          <w:sz w:val="28"/>
          <w:szCs w:val="28"/>
        </w:rPr>
        <w:t>5. Other infections</w:t>
      </w:r>
    </w:p>
    <w:p w:rsidR="00F90608" w:rsidRDefault="00F90608" w:rsidP="00BD21E5">
      <w:pPr>
        <w:spacing w:after="0"/>
      </w:pPr>
    </w:p>
    <w:tbl>
      <w:tblPr>
        <w:tblStyle w:val="TableGrid"/>
        <w:tblW w:w="0" w:type="auto"/>
        <w:tblLook w:val="04A0" w:firstRow="1" w:lastRow="0" w:firstColumn="1" w:lastColumn="0" w:noHBand="0" w:noVBand="1"/>
      </w:tblPr>
      <w:tblGrid>
        <w:gridCol w:w="2547"/>
        <w:gridCol w:w="3544"/>
        <w:gridCol w:w="3763"/>
      </w:tblGrid>
      <w:tr w:rsidR="00F90608" w:rsidTr="00827744">
        <w:trPr>
          <w:tblHeader/>
        </w:trPr>
        <w:tc>
          <w:tcPr>
            <w:tcW w:w="2547" w:type="dxa"/>
          </w:tcPr>
          <w:p w:rsidR="00F90608" w:rsidRPr="00F90608" w:rsidRDefault="00F90608" w:rsidP="008033D8">
            <w:pPr>
              <w:rPr>
                <w:b/>
              </w:rPr>
            </w:pPr>
            <w:r>
              <w:rPr>
                <w:b/>
              </w:rPr>
              <w:t>Infection or complaint</w:t>
            </w:r>
          </w:p>
        </w:tc>
        <w:tc>
          <w:tcPr>
            <w:tcW w:w="3544" w:type="dxa"/>
          </w:tcPr>
          <w:p w:rsidR="00F90608" w:rsidRPr="00F90608" w:rsidRDefault="00F90608" w:rsidP="008033D8">
            <w:pPr>
              <w:rPr>
                <w:b/>
              </w:rPr>
            </w:pPr>
            <w:r>
              <w:rPr>
                <w:b/>
              </w:rPr>
              <w:t xml:space="preserve">Recommended period to be kept away from school, nursery or </w:t>
            </w:r>
            <w:proofErr w:type="spellStart"/>
            <w:r>
              <w:rPr>
                <w:b/>
              </w:rPr>
              <w:t>childminders</w:t>
            </w:r>
            <w:proofErr w:type="spellEnd"/>
          </w:p>
        </w:tc>
        <w:tc>
          <w:tcPr>
            <w:tcW w:w="3763" w:type="dxa"/>
          </w:tcPr>
          <w:p w:rsidR="00F90608" w:rsidRPr="00F90608" w:rsidRDefault="00F90608" w:rsidP="008033D8">
            <w:pPr>
              <w:rPr>
                <w:b/>
              </w:rPr>
            </w:pPr>
            <w:r>
              <w:rPr>
                <w:b/>
              </w:rPr>
              <w:t>Comments</w:t>
            </w:r>
          </w:p>
        </w:tc>
      </w:tr>
      <w:tr w:rsidR="00F90608" w:rsidTr="008033D8">
        <w:tc>
          <w:tcPr>
            <w:tcW w:w="2547" w:type="dxa"/>
          </w:tcPr>
          <w:p w:rsidR="00F90608" w:rsidRDefault="00FF5A3A" w:rsidP="008033D8">
            <w:r>
              <w:t>Conjunctivitis</w:t>
            </w:r>
          </w:p>
        </w:tc>
        <w:tc>
          <w:tcPr>
            <w:tcW w:w="3544" w:type="dxa"/>
          </w:tcPr>
          <w:p w:rsidR="00F90608" w:rsidRDefault="00FF5A3A" w:rsidP="008033D8">
            <w:r>
              <w:t>None</w:t>
            </w:r>
          </w:p>
        </w:tc>
        <w:tc>
          <w:tcPr>
            <w:tcW w:w="3763" w:type="dxa"/>
          </w:tcPr>
          <w:p w:rsidR="00F90608" w:rsidRPr="00FF5A3A" w:rsidRDefault="00FF5A3A" w:rsidP="008033D8">
            <w:r>
              <w:t>If an outbreak/cluster occurs, consult your local PHE centre</w:t>
            </w:r>
          </w:p>
        </w:tc>
      </w:tr>
      <w:tr w:rsidR="00F90608" w:rsidTr="008033D8">
        <w:tc>
          <w:tcPr>
            <w:tcW w:w="2547" w:type="dxa"/>
          </w:tcPr>
          <w:p w:rsidR="00F90608" w:rsidRDefault="00FF5A3A" w:rsidP="008033D8">
            <w:proofErr w:type="spellStart"/>
            <w:r>
              <w:t>Diptheria</w:t>
            </w:r>
            <w:proofErr w:type="spellEnd"/>
            <w:r w:rsidR="00EC6419">
              <w:t>*</w:t>
            </w:r>
          </w:p>
        </w:tc>
        <w:tc>
          <w:tcPr>
            <w:tcW w:w="3544" w:type="dxa"/>
          </w:tcPr>
          <w:p w:rsidR="00F90608" w:rsidRDefault="00FF5A3A" w:rsidP="008033D8">
            <w:r>
              <w:t>Exclusion is essential.  Always consult with your local HPT.</w:t>
            </w:r>
          </w:p>
        </w:tc>
        <w:tc>
          <w:tcPr>
            <w:tcW w:w="3763" w:type="dxa"/>
          </w:tcPr>
          <w:p w:rsidR="00F90608" w:rsidRDefault="00FF5A3A" w:rsidP="008033D8">
            <w:r>
              <w:t>Family contacts must be excluded until cleared to return by your local PHE centre.  Preventable by vaccination. Your local PHE centre will organise any contact tracing necessary.</w:t>
            </w:r>
          </w:p>
        </w:tc>
      </w:tr>
      <w:tr w:rsidR="00F90608" w:rsidTr="008033D8">
        <w:tc>
          <w:tcPr>
            <w:tcW w:w="2547" w:type="dxa"/>
          </w:tcPr>
          <w:p w:rsidR="00F90608" w:rsidRDefault="00FF5A3A" w:rsidP="008033D8">
            <w:r>
              <w:t>Glandular fever</w:t>
            </w:r>
          </w:p>
        </w:tc>
        <w:tc>
          <w:tcPr>
            <w:tcW w:w="3544" w:type="dxa"/>
          </w:tcPr>
          <w:p w:rsidR="00F90608" w:rsidRDefault="00FF5A3A" w:rsidP="008033D8">
            <w:r>
              <w:t>None</w:t>
            </w:r>
          </w:p>
        </w:tc>
        <w:tc>
          <w:tcPr>
            <w:tcW w:w="3763" w:type="dxa"/>
          </w:tcPr>
          <w:p w:rsidR="00F90608" w:rsidRDefault="00F90608" w:rsidP="008033D8"/>
        </w:tc>
      </w:tr>
      <w:tr w:rsidR="00FF5A3A" w:rsidTr="008033D8">
        <w:tc>
          <w:tcPr>
            <w:tcW w:w="2547" w:type="dxa"/>
          </w:tcPr>
          <w:p w:rsidR="00FF5A3A" w:rsidRDefault="00FF5A3A" w:rsidP="008033D8">
            <w:r>
              <w:lastRenderedPageBreak/>
              <w:t>Head lice</w:t>
            </w:r>
          </w:p>
        </w:tc>
        <w:tc>
          <w:tcPr>
            <w:tcW w:w="3544" w:type="dxa"/>
          </w:tcPr>
          <w:p w:rsidR="00FF5A3A" w:rsidRDefault="00FF5A3A" w:rsidP="008033D8">
            <w:r>
              <w:t>None</w:t>
            </w:r>
          </w:p>
        </w:tc>
        <w:tc>
          <w:tcPr>
            <w:tcW w:w="3763" w:type="dxa"/>
          </w:tcPr>
          <w:p w:rsidR="00FF5A3A" w:rsidRDefault="00FF5A3A" w:rsidP="008033D8">
            <w:r>
              <w:t>Treatment is recommended only in cases where live lice have been seen</w:t>
            </w:r>
          </w:p>
        </w:tc>
      </w:tr>
      <w:tr w:rsidR="00FF5A3A" w:rsidTr="008033D8">
        <w:tc>
          <w:tcPr>
            <w:tcW w:w="2547" w:type="dxa"/>
          </w:tcPr>
          <w:p w:rsidR="00FF5A3A" w:rsidRDefault="00FF5A3A" w:rsidP="008033D8">
            <w:r>
              <w:t>Hepatitis A</w:t>
            </w:r>
            <w:r w:rsidR="00EC6419">
              <w:t>*</w:t>
            </w:r>
          </w:p>
        </w:tc>
        <w:tc>
          <w:tcPr>
            <w:tcW w:w="3544" w:type="dxa"/>
          </w:tcPr>
          <w:p w:rsidR="00FF5A3A" w:rsidRDefault="00FF5A3A" w:rsidP="008033D8">
            <w:r>
              <w:t>Exclude until seven days after onset of jaundice (or seven days after symptom onset if no jaundice</w:t>
            </w:r>
          </w:p>
        </w:tc>
        <w:tc>
          <w:tcPr>
            <w:tcW w:w="3763" w:type="dxa"/>
          </w:tcPr>
          <w:p w:rsidR="00FF5A3A" w:rsidRDefault="00FF5A3A" w:rsidP="008033D8">
            <w:r>
              <w:t>In an outbreak of hepatitis A, your local PHE centre will advise on control measures.</w:t>
            </w:r>
          </w:p>
        </w:tc>
      </w:tr>
      <w:tr w:rsidR="00827744" w:rsidTr="008033D8">
        <w:tc>
          <w:tcPr>
            <w:tcW w:w="2547" w:type="dxa"/>
          </w:tcPr>
          <w:p w:rsidR="00827744" w:rsidRDefault="00827744" w:rsidP="008033D8">
            <w:r>
              <w:t>Hepatitis B</w:t>
            </w:r>
            <w:r w:rsidR="00EC6419">
              <w:t>*</w:t>
            </w:r>
            <w:r>
              <w:t>, C</w:t>
            </w:r>
            <w:r w:rsidR="00EC6419">
              <w:t>*</w:t>
            </w:r>
            <w:r>
              <w:t>, HIV/AIDS</w:t>
            </w:r>
          </w:p>
        </w:tc>
        <w:tc>
          <w:tcPr>
            <w:tcW w:w="3544" w:type="dxa"/>
          </w:tcPr>
          <w:p w:rsidR="00827744" w:rsidRDefault="00827744" w:rsidP="008033D8">
            <w:r>
              <w:t>None</w:t>
            </w:r>
          </w:p>
        </w:tc>
        <w:tc>
          <w:tcPr>
            <w:tcW w:w="3763" w:type="dxa"/>
          </w:tcPr>
          <w:p w:rsidR="00827744" w:rsidRPr="00827744" w:rsidRDefault="00827744" w:rsidP="008033D8">
            <w:r>
              <w:t xml:space="preserve">Hepatitis B and C and HIV are </w:t>
            </w:r>
            <w:proofErr w:type="spellStart"/>
            <w:r>
              <w:t>bloodborne</w:t>
            </w:r>
            <w:proofErr w:type="spellEnd"/>
            <w:r>
              <w:t xml:space="preserve"> viruses that are not infectious through casual contact.  For cleaning of body fluid spills see: </w:t>
            </w:r>
            <w:r>
              <w:rPr>
                <w:i/>
              </w:rPr>
              <w:t>Good Hygiene Practice</w:t>
            </w:r>
          </w:p>
        </w:tc>
      </w:tr>
      <w:tr w:rsidR="00827744" w:rsidTr="008033D8">
        <w:tc>
          <w:tcPr>
            <w:tcW w:w="2547" w:type="dxa"/>
          </w:tcPr>
          <w:p w:rsidR="00827744" w:rsidRDefault="00827744" w:rsidP="00EC6419">
            <w:r>
              <w:t xml:space="preserve">Meningococcal </w:t>
            </w:r>
            <w:r w:rsidR="00EC6419">
              <w:t>meningitis*</w:t>
            </w:r>
            <w:r>
              <w:t>/septicaemia</w:t>
            </w:r>
            <w:r w:rsidR="00EC6419">
              <w:t>*</w:t>
            </w:r>
          </w:p>
        </w:tc>
        <w:tc>
          <w:tcPr>
            <w:tcW w:w="3544" w:type="dxa"/>
          </w:tcPr>
          <w:p w:rsidR="00827744" w:rsidRDefault="00827744" w:rsidP="008033D8">
            <w:r>
              <w:t>Until recovered</w:t>
            </w:r>
          </w:p>
        </w:tc>
        <w:tc>
          <w:tcPr>
            <w:tcW w:w="3763" w:type="dxa"/>
          </w:tcPr>
          <w:p w:rsidR="00827744" w:rsidRDefault="00827744" w:rsidP="008033D8">
            <w: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827744" w:rsidTr="008033D8">
        <w:tc>
          <w:tcPr>
            <w:tcW w:w="2547" w:type="dxa"/>
          </w:tcPr>
          <w:p w:rsidR="00827744" w:rsidRDefault="00827744" w:rsidP="008033D8">
            <w:r>
              <w:t>Meningitis</w:t>
            </w:r>
            <w:r w:rsidR="00EC6419">
              <w:t>*</w:t>
            </w:r>
            <w:r>
              <w:t xml:space="preserve"> due to other bacteria</w:t>
            </w:r>
          </w:p>
        </w:tc>
        <w:tc>
          <w:tcPr>
            <w:tcW w:w="3544" w:type="dxa"/>
          </w:tcPr>
          <w:p w:rsidR="00827744" w:rsidRDefault="00827744" w:rsidP="008033D8">
            <w:r>
              <w:t>Until recovered</w:t>
            </w:r>
          </w:p>
        </w:tc>
        <w:tc>
          <w:tcPr>
            <w:tcW w:w="3763" w:type="dxa"/>
          </w:tcPr>
          <w:p w:rsidR="00827744" w:rsidRDefault="00827744" w:rsidP="008033D8">
            <w:proofErr w:type="spellStart"/>
            <w:r>
              <w:t>Hib</w:t>
            </w:r>
            <w:proofErr w:type="spellEnd"/>
            <w:r>
              <w:t xml:space="preserve"> and pneumococcal meningitis are preventable by vaccination.  There is no reason to exclude siblings or other close contacts of a case. Your local PHE centre will give advice on any action needed</w:t>
            </w:r>
          </w:p>
        </w:tc>
      </w:tr>
      <w:tr w:rsidR="00827744" w:rsidTr="008033D8">
        <w:tc>
          <w:tcPr>
            <w:tcW w:w="2547" w:type="dxa"/>
          </w:tcPr>
          <w:p w:rsidR="00827744" w:rsidRDefault="00827744" w:rsidP="008033D8">
            <w:r>
              <w:t>Meningitis viral</w:t>
            </w:r>
            <w:r w:rsidR="00EC6419">
              <w:t>*</w:t>
            </w:r>
          </w:p>
        </w:tc>
        <w:tc>
          <w:tcPr>
            <w:tcW w:w="3544" w:type="dxa"/>
          </w:tcPr>
          <w:p w:rsidR="00827744" w:rsidRDefault="00827744" w:rsidP="008033D8">
            <w:r>
              <w:t>None</w:t>
            </w:r>
          </w:p>
        </w:tc>
        <w:tc>
          <w:tcPr>
            <w:tcW w:w="3763" w:type="dxa"/>
          </w:tcPr>
          <w:p w:rsidR="00827744" w:rsidRDefault="00827744" w:rsidP="008033D8">
            <w:r>
              <w:t>Milder illness. There is no reason to exclude siblings and other close contacts of a case.  Contact tracing is not required.</w:t>
            </w:r>
          </w:p>
        </w:tc>
      </w:tr>
      <w:tr w:rsidR="00827744" w:rsidTr="008033D8">
        <w:tc>
          <w:tcPr>
            <w:tcW w:w="2547" w:type="dxa"/>
          </w:tcPr>
          <w:p w:rsidR="00827744" w:rsidRDefault="00827744" w:rsidP="008033D8">
            <w:r>
              <w:t>MRSA</w:t>
            </w:r>
          </w:p>
        </w:tc>
        <w:tc>
          <w:tcPr>
            <w:tcW w:w="3544" w:type="dxa"/>
          </w:tcPr>
          <w:p w:rsidR="00827744" w:rsidRDefault="00827744" w:rsidP="008033D8">
            <w:r>
              <w:t>None</w:t>
            </w:r>
          </w:p>
        </w:tc>
        <w:tc>
          <w:tcPr>
            <w:tcW w:w="3763" w:type="dxa"/>
          </w:tcPr>
          <w:p w:rsidR="00827744" w:rsidRDefault="00827744" w:rsidP="008033D8">
            <w:r>
              <w:t xml:space="preserve">Good hygiene, in particular </w:t>
            </w:r>
            <w:proofErr w:type="spellStart"/>
            <w:r>
              <w:t>handwashing</w:t>
            </w:r>
            <w:proofErr w:type="spellEnd"/>
            <w:r>
              <w:t xml:space="preserve"> and environmental cleaning, are important</w:t>
            </w:r>
            <w:r w:rsidR="00E031F3">
              <w:t xml:space="preserve"> to minimise any danger of spread.  If further information is required, contact your local PHE centre.</w:t>
            </w:r>
          </w:p>
        </w:tc>
      </w:tr>
      <w:tr w:rsidR="00E031F3" w:rsidTr="008033D8">
        <w:tc>
          <w:tcPr>
            <w:tcW w:w="2547" w:type="dxa"/>
          </w:tcPr>
          <w:p w:rsidR="00E031F3" w:rsidRDefault="00E031F3" w:rsidP="008033D8">
            <w:r>
              <w:t>Mumps</w:t>
            </w:r>
            <w:r w:rsidR="00EC6419">
              <w:t>*</w:t>
            </w:r>
          </w:p>
        </w:tc>
        <w:tc>
          <w:tcPr>
            <w:tcW w:w="3544" w:type="dxa"/>
          </w:tcPr>
          <w:p w:rsidR="00E031F3" w:rsidRDefault="00E031F3" w:rsidP="008033D8">
            <w:r>
              <w:t>Exclude child for five days after onset of swelling</w:t>
            </w:r>
          </w:p>
        </w:tc>
        <w:tc>
          <w:tcPr>
            <w:tcW w:w="3763" w:type="dxa"/>
          </w:tcPr>
          <w:p w:rsidR="00E031F3" w:rsidRDefault="00E031F3" w:rsidP="008033D8">
            <w:r>
              <w:t>Preventable by vaccination (MMR x 2 doses)</w:t>
            </w:r>
          </w:p>
        </w:tc>
      </w:tr>
      <w:tr w:rsidR="00E031F3" w:rsidTr="008033D8">
        <w:tc>
          <w:tcPr>
            <w:tcW w:w="2547" w:type="dxa"/>
          </w:tcPr>
          <w:p w:rsidR="00E031F3" w:rsidRDefault="00E031F3" w:rsidP="008033D8">
            <w:r>
              <w:t>Threadworms</w:t>
            </w:r>
          </w:p>
        </w:tc>
        <w:tc>
          <w:tcPr>
            <w:tcW w:w="3544" w:type="dxa"/>
          </w:tcPr>
          <w:p w:rsidR="00E031F3" w:rsidRDefault="00E031F3" w:rsidP="008033D8">
            <w:r>
              <w:t>None</w:t>
            </w:r>
          </w:p>
        </w:tc>
        <w:tc>
          <w:tcPr>
            <w:tcW w:w="3763" w:type="dxa"/>
          </w:tcPr>
          <w:p w:rsidR="00E031F3" w:rsidRDefault="00E031F3" w:rsidP="008033D8">
            <w:r>
              <w:t>Treatment is recommended for the child and household contacts</w:t>
            </w:r>
          </w:p>
        </w:tc>
      </w:tr>
      <w:tr w:rsidR="00D84A29" w:rsidTr="008033D8">
        <w:tc>
          <w:tcPr>
            <w:tcW w:w="2547" w:type="dxa"/>
          </w:tcPr>
          <w:p w:rsidR="00D84A29" w:rsidRDefault="00D84A29" w:rsidP="008033D8">
            <w:r>
              <w:t>Tonsillitis</w:t>
            </w:r>
          </w:p>
        </w:tc>
        <w:tc>
          <w:tcPr>
            <w:tcW w:w="3544" w:type="dxa"/>
          </w:tcPr>
          <w:p w:rsidR="00D84A29" w:rsidRDefault="00D84A29" w:rsidP="008033D8">
            <w:r>
              <w:t>None</w:t>
            </w:r>
          </w:p>
        </w:tc>
        <w:tc>
          <w:tcPr>
            <w:tcW w:w="3763" w:type="dxa"/>
          </w:tcPr>
          <w:p w:rsidR="00D84A29" w:rsidRDefault="00D84A29" w:rsidP="008033D8">
            <w:r>
              <w:t>There are many causes, but most cases are due to viruses and do not need an antibiotic</w:t>
            </w:r>
          </w:p>
        </w:tc>
      </w:tr>
    </w:tbl>
    <w:p w:rsidR="00F90608" w:rsidRPr="00A1657E" w:rsidRDefault="00F90608" w:rsidP="00BD21E5">
      <w:pPr>
        <w:spacing w:after="0"/>
        <w:rPr>
          <w:sz w:val="16"/>
          <w:szCs w:val="16"/>
        </w:rPr>
      </w:pPr>
    </w:p>
    <w:p w:rsidR="00D84A29" w:rsidRDefault="00D84A29" w:rsidP="00D84A29">
      <w:pPr>
        <w:spacing w:after="0"/>
      </w:pPr>
      <w:r w:rsidRPr="00A1657E">
        <w:t>* denotes</w:t>
      </w:r>
      <w:r>
        <w:t xml:space="preserve">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Office for Standards in Education, Children’s Services and Skills (Ofsted)/Commission for Social Care Inspection (CSCI)) may wish to be informed – please refer to local policy.</w:t>
      </w:r>
    </w:p>
    <w:p w:rsidR="00D84A29" w:rsidRPr="00A1657E" w:rsidRDefault="00D84A29" w:rsidP="00D84A29">
      <w:pPr>
        <w:spacing w:after="0"/>
        <w:rPr>
          <w:sz w:val="16"/>
          <w:szCs w:val="16"/>
        </w:rPr>
      </w:pPr>
      <w:bookmarkStart w:id="0" w:name="_GoBack"/>
      <w:bookmarkEnd w:id="0"/>
    </w:p>
    <w:p w:rsidR="00D84A29" w:rsidRDefault="00D84A29" w:rsidP="00D84A29">
      <w:pPr>
        <w:spacing w:after="0"/>
      </w:pPr>
      <w:r>
        <w:t>Outbreaks: if an outbreak of infectious disease is suspected, please contact your local PHE</w:t>
      </w:r>
    </w:p>
    <w:sectPr w:rsidR="00D84A29" w:rsidSect="00A1657E">
      <w:headerReference w:type="default" r:id="rId8"/>
      <w:footerReference w:type="default" r:id="rId9"/>
      <w:pgSz w:w="11906" w:h="16838" w:code="9"/>
      <w:pgMar w:top="624" w:right="907" w:bottom="624" w:left="90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CC" w:rsidRDefault="00D936CC" w:rsidP="00BD21E5">
      <w:pPr>
        <w:spacing w:after="0" w:line="240" w:lineRule="auto"/>
      </w:pPr>
      <w:r>
        <w:separator/>
      </w:r>
    </w:p>
  </w:endnote>
  <w:endnote w:type="continuationSeparator" w:id="0">
    <w:p w:rsidR="00D936CC" w:rsidRDefault="00D936CC" w:rsidP="00BD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681791"/>
      <w:docPartObj>
        <w:docPartGallery w:val="Page Numbers (Bottom of Page)"/>
        <w:docPartUnique/>
      </w:docPartObj>
    </w:sdtPr>
    <w:sdtContent>
      <w:p w:rsidR="00F14A98" w:rsidRDefault="00F14A98">
        <w:pPr>
          <w:pStyle w:val="Footer"/>
          <w:jc w:val="right"/>
        </w:pPr>
        <w:r>
          <w:t xml:space="preserve">Page | </w:t>
        </w:r>
        <w:r>
          <w:fldChar w:fldCharType="begin"/>
        </w:r>
        <w:r>
          <w:instrText xml:space="preserve"> PAGE   \* MERGEFORMAT </w:instrText>
        </w:r>
        <w:r>
          <w:fldChar w:fldCharType="separate"/>
        </w:r>
        <w:r w:rsidR="00A1657E">
          <w:rPr>
            <w:noProof/>
          </w:rPr>
          <w:t>3</w:t>
        </w:r>
        <w:r>
          <w:rPr>
            <w:noProof/>
          </w:rPr>
          <w:fldChar w:fldCharType="end"/>
        </w:r>
        <w:r>
          <w:t xml:space="preserve"> </w:t>
        </w:r>
      </w:p>
    </w:sdtContent>
  </w:sdt>
  <w:p w:rsidR="00F14A98" w:rsidRDefault="00F1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CC" w:rsidRDefault="00D936CC" w:rsidP="00BD21E5">
      <w:pPr>
        <w:spacing w:after="0" w:line="240" w:lineRule="auto"/>
      </w:pPr>
      <w:r>
        <w:separator/>
      </w:r>
    </w:p>
  </w:footnote>
  <w:footnote w:type="continuationSeparator" w:id="0">
    <w:p w:rsidR="00D936CC" w:rsidRDefault="00D936CC" w:rsidP="00BD21E5">
      <w:pPr>
        <w:spacing w:after="0" w:line="240" w:lineRule="auto"/>
      </w:pPr>
      <w:r>
        <w:continuationSeparator/>
      </w:r>
    </w:p>
  </w:footnote>
  <w:footnote w:id="1">
    <w:p w:rsidR="00064CA6" w:rsidRDefault="00064CA6">
      <w:pPr>
        <w:pStyle w:val="FootnoteText"/>
      </w:pPr>
      <w:r>
        <w:rPr>
          <w:rStyle w:val="FootnoteReference"/>
        </w:rPr>
        <w:footnoteRef/>
      </w:r>
      <w:r>
        <w:t xml:space="preserve"> HPT: Health Protection Team, part of Public Health England. Local team Avon Gloucestershire and Wiltshire based in Bristol.  Tel No: 0300 303 8162 (option 1 then option 2)</w:t>
      </w:r>
    </w:p>
  </w:footnote>
  <w:footnote w:id="2">
    <w:p w:rsidR="00064CA6" w:rsidRDefault="00064CA6">
      <w:pPr>
        <w:pStyle w:val="FootnoteText"/>
      </w:pPr>
      <w:r>
        <w:rPr>
          <w:rStyle w:val="FootnoteReference"/>
        </w:rPr>
        <w:footnoteRef/>
      </w:r>
      <w:r>
        <w:t xml:space="preserve"> PHE: Public Health England, PHE South West based in Bristol.  Tel No: 0300 303 8162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E5" w:rsidRPr="00BB23B3" w:rsidRDefault="00BD21E5">
    <w:pPr>
      <w:pStyle w:val="Header"/>
      <w:rPr>
        <w:sz w:val="32"/>
        <w:szCs w:val="32"/>
      </w:rPr>
    </w:pPr>
    <w:r w:rsidRPr="00BB23B3">
      <w:rPr>
        <w:b/>
        <w:sz w:val="32"/>
        <w:szCs w:val="32"/>
      </w:rPr>
      <w:t xml:space="preserve">Extract from Public Health Britain: </w:t>
    </w:r>
    <w:r w:rsidRPr="00BB23B3">
      <w:rPr>
        <w:sz w:val="32"/>
        <w:szCs w:val="32"/>
      </w:rPr>
      <w:t>Guidance on infection control in schools and other childcare settings</w:t>
    </w:r>
  </w:p>
  <w:p w:rsidR="00BD21E5" w:rsidRPr="00F14A98" w:rsidRDefault="00BD21E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7778"/>
    <w:multiLevelType w:val="hybridMultilevel"/>
    <w:tmpl w:val="7FA084A8"/>
    <w:lvl w:ilvl="0" w:tplc="906AC0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E5"/>
    <w:rsid w:val="00064CA6"/>
    <w:rsid w:val="00104280"/>
    <w:rsid w:val="002342B1"/>
    <w:rsid w:val="00394529"/>
    <w:rsid w:val="003E0617"/>
    <w:rsid w:val="00465D06"/>
    <w:rsid w:val="006848F4"/>
    <w:rsid w:val="007D4527"/>
    <w:rsid w:val="00827744"/>
    <w:rsid w:val="00827CA1"/>
    <w:rsid w:val="009F347A"/>
    <w:rsid w:val="00A1657E"/>
    <w:rsid w:val="00BB23B3"/>
    <w:rsid w:val="00BD21E5"/>
    <w:rsid w:val="00CF3C02"/>
    <w:rsid w:val="00D33D03"/>
    <w:rsid w:val="00D84A29"/>
    <w:rsid w:val="00D936CC"/>
    <w:rsid w:val="00E031F3"/>
    <w:rsid w:val="00E3536A"/>
    <w:rsid w:val="00E4243B"/>
    <w:rsid w:val="00EC6419"/>
    <w:rsid w:val="00F14A98"/>
    <w:rsid w:val="00F90608"/>
    <w:rsid w:val="00FF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72DB-9C67-4F94-9465-8D05D9F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1E5"/>
  </w:style>
  <w:style w:type="paragraph" w:styleId="Footer">
    <w:name w:val="footer"/>
    <w:basedOn w:val="Normal"/>
    <w:link w:val="FooterChar"/>
    <w:uiPriority w:val="99"/>
    <w:unhideWhenUsed/>
    <w:rsid w:val="00BD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1E5"/>
  </w:style>
  <w:style w:type="table" w:styleId="TableGrid">
    <w:name w:val="Table Grid"/>
    <w:basedOn w:val="TableNormal"/>
    <w:uiPriority w:val="39"/>
    <w:rsid w:val="00D33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A29"/>
    <w:pPr>
      <w:ind w:left="720"/>
      <w:contextualSpacing/>
    </w:pPr>
  </w:style>
  <w:style w:type="paragraph" w:styleId="FootnoteText">
    <w:name w:val="footnote text"/>
    <w:basedOn w:val="Normal"/>
    <w:link w:val="FootnoteTextChar"/>
    <w:uiPriority w:val="99"/>
    <w:semiHidden/>
    <w:unhideWhenUsed/>
    <w:rsid w:val="00064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CA6"/>
    <w:rPr>
      <w:sz w:val="20"/>
      <w:szCs w:val="20"/>
    </w:rPr>
  </w:style>
  <w:style w:type="character" w:styleId="FootnoteReference">
    <w:name w:val="footnote reference"/>
    <w:basedOn w:val="DefaultParagraphFont"/>
    <w:uiPriority w:val="99"/>
    <w:semiHidden/>
    <w:unhideWhenUsed/>
    <w:rsid w:val="00064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789B-31B0-47AA-9D5C-C883927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Coupe</dc:creator>
  <cp:keywords/>
  <dc:description/>
  <cp:lastModifiedBy>Heather Coupe</cp:lastModifiedBy>
  <cp:revision>16</cp:revision>
  <dcterms:created xsi:type="dcterms:W3CDTF">2016-10-05T07:15:00Z</dcterms:created>
  <dcterms:modified xsi:type="dcterms:W3CDTF">2016-10-05T17:33:00Z</dcterms:modified>
</cp:coreProperties>
</file>